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after="200" w:line="276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0" w:firstLine="567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right="0"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2024 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spacing w:after="200" w:line="276" w:lineRule="auto"/>
        <w:rPr>
          <w:rFonts w:ascii="Times New Roman" w:cs="Times New Roman" w:eastAsia="Calibri" w:hAnsi="Times New Roman"/>
          <w:b/>
          <w:sz w:val="26"/>
          <w:szCs w:val="26"/>
          <w:u w:val="none"/>
        </w:rPr>
      </w:pPr>
    </w:p>
    <w:p w14:paraId="00000008">
      <w:pPr>
        <w:spacing w:after="200" w:line="276" w:lineRule="auto"/>
        <w:rPr>
          <w:rFonts w:ascii="Times New Roman" w:cs="Times New Roman" w:eastAsia="Calibri" w:hAnsi="Times New Roman"/>
          <w:sz w:val="26"/>
          <w:szCs w:val="26"/>
          <w:u w:val="none"/>
        </w:rPr>
      </w:pPr>
      <w:r>
        <w:rPr>
          <w:rFonts w:ascii="Times New Roman" w:cs="Times New Roman" w:eastAsia="Calibri" w:hAnsi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cs="Times New Roman" w:eastAsia="Calibri" w:hAnsi="Times New Roman"/>
          <w:sz w:val="26"/>
          <w:szCs w:val="26"/>
          <w:u w:val="single"/>
        </w:rPr>
        <w:t>ГАПОУ  «Казанский политехнический колледж»</w:t>
      </w:r>
      <w:r>
        <w:rPr>
          <w:rFonts w:ascii="Times New Roman" w:cs="Times New Roman" w:eastAsia="Calibri" w:hAnsi="Times New Roman"/>
          <w:sz w:val="26"/>
          <w:szCs w:val="26"/>
          <w:u w:val="none"/>
        </w:rPr>
        <w:br w:type="page"/>
      </w:r>
    </w:p>
    <w:p w14:paraId="0000000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СОДЕРЖАНИЕ</w:t>
      </w:r>
    </w:p>
    <w:p w14:paraId="00000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tbl>
      <w:tblPr>
        <w:tblW w:w="0" w:type="auto"/>
        <w:jc w:val="left"/>
        <w:tblInd w:w="0" w:type="dxa"/>
        <w:tblLayout w:type="fixed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 w14:paraId="0000000B">
            <w:pPr>
              <w:pStyle w:val="Heading1"/>
              <w:spacing w:before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 w14:paraId="0000000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 w14:paraId="0000000D">
            <w:pPr>
              <w:pStyle w:val="Heading1"/>
              <w:spacing w:before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  <w:lang w:val="ru-RU"/>
              </w:rPr>
              <w:t xml:space="preserve">1. 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ПАСПОРТ рабочей ПРОГРАММЫ УЧЕБНОЙ ДИСЦИПЛИНЫ</w:t>
            </w:r>
          </w:p>
          <w:p w14:paraId="0000000E">
            <w:pPr>
              <w:spacing w:before="0" w:after="0" w:line="240" w:lineRule="auto"/>
              <w:ind w:left="0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0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4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 w14:paraId="00000010">
            <w:pPr>
              <w:pStyle w:val="Heading1"/>
              <w:spacing w:before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  <w:lang w:val="ru-RU"/>
              </w:rPr>
              <w:t xml:space="preserve">2. 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СТРУКТУРА и содержание УЧЕБНОЙ ДИСЦИПЛИНЫ</w:t>
            </w:r>
          </w:p>
          <w:p w14:paraId="00000011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 w14:paraId="0000001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6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 w14:paraId="00000013">
            <w:pPr>
              <w:pStyle w:val="Heading1"/>
              <w:spacing w:before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  <w:lang w:val="ru-RU"/>
              </w:rPr>
              <w:t xml:space="preserve">3. 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условия реализации программы учебной дисциплины</w:t>
            </w:r>
          </w:p>
          <w:p w14:paraId="00000014">
            <w:pPr>
              <w:pStyle w:val="Heading1"/>
              <w:tabs>
                <w:tab w:val="num" w:pos="0"/>
              </w:tabs>
              <w:spacing w:before="0" w:line="240"/>
              <w:ind w:left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11</w:t>
            </w:r>
          </w:p>
          <w:p w14:paraId="00000016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 w14:paraId="00000017">
            <w:pPr>
              <w:pStyle w:val="Heading1"/>
              <w:spacing w:before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  <w:lang w:val="ru-RU"/>
              </w:rPr>
              <w:t xml:space="preserve">4. 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0000018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 w14:paraId="0000001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13</w:t>
            </w:r>
          </w:p>
        </w:tc>
      </w:tr>
    </w:tbl>
    <w:p w14:paraId="0000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 w14:paraId="00000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Cs/>
          <w:i/>
          <w:sz w:val="26"/>
          <w:szCs w:val="26"/>
        </w:rPr>
      </w:pPr>
    </w:p>
    <w:p w14:paraId="0000001C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br w:type="page"/>
      </w:r>
      <w:r>
        <w:rPr>
          <w:rFonts w:ascii="Times New Roman" w:cs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14:paraId="0000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Основы финансовой грамотности</w:t>
      </w:r>
    </w:p>
    <w:p w14:paraId="0000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cs="Times New Roman" w:eastAsia="Calibri" w:hAnsi="Times New Roman"/>
          <w:b/>
          <w:sz w:val="26"/>
          <w:szCs w:val="26"/>
        </w:rPr>
        <w:t>рабочей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00000020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, </w:t>
      </w:r>
      <w:r>
        <w:rPr>
          <w:rFonts w:ascii="Times New Roman" w:cs="Times New Roman" w:hAnsi="Times New Roman"/>
          <w:color w:val="000000"/>
          <w:sz w:val="26"/>
          <w:szCs w:val="26"/>
        </w:rPr>
        <w:t>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</w:p>
    <w:p w14:paraId="00000021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Основы финансовой грамотности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»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может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быть использована </w:t>
      </w:r>
      <w:r>
        <w:rPr>
          <w:rFonts w:ascii="Times New Roman" w:cs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</w:p>
    <w:p w14:paraId="0000002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cs="Times New Roman" w:hAnsi="Times New Roman"/>
          <w:color w:val="000000"/>
          <w:sz w:val="26"/>
          <w:szCs w:val="26"/>
        </w:rPr>
        <w:t>нального образования технологический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00000025">
      <w:pPr>
        <w:spacing w:after="0" w:line="240" w:lineRule="auto"/>
        <w:ind w:left="119" w:right="221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Учебная дисциплина </w:t>
      </w:r>
      <w:r>
        <w:rPr>
          <w:rFonts w:ascii="Times New Roman" w:cs="Times New Roman" w:hAnsi="Times New Roman"/>
          <w:sz w:val="26"/>
          <w:szCs w:val="26"/>
        </w:rPr>
        <w:t>СГ.0</w:t>
      </w:r>
      <w:r>
        <w:rPr>
          <w:rFonts w:ascii="Times New Roman" w:cs="Times New Roman" w:hAnsi="Times New Roman"/>
          <w:sz w:val="26"/>
          <w:szCs w:val="26"/>
        </w:rPr>
        <w:t>6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Основы финансовой грамотности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является обязательной частью социально-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>
        <w:rPr>
          <w:rFonts w:ascii="Times New Roman" w:cs="Times New Roman" w:hAnsi="Times New Roman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26">
      <w:pPr>
        <w:spacing w:after="0" w:line="240" w:lineRule="auto"/>
        <w:ind w:left="119" w:right="221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Особое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значение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дисциплина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имеет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формировании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развитии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ОК 01 -  ОК 05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27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ab/>
        <w:t xml:space="preserve">    </w:t>
      </w:r>
    </w:p>
    <w:p w14:paraId="0000002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0000029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0000002A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уметь</w:t>
      </w:r>
      <w:r>
        <w:rPr>
          <w:color w:val="auto"/>
          <w:sz w:val="26"/>
          <w:szCs w:val="26"/>
        </w:rPr>
        <w:t xml:space="preserve">: </w:t>
      </w:r>
    </w:p>
    <w:p w14:paraId="0000002B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14:paraId="0000002C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0000002D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знать:</w:t>
      </w:r>
    </w:p>
    <w:p w14:paraId="0000002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>- базовые экономические инструменты</w:t>
      </w:r>
      <w:r>
        <w:rPr>
          <w:rFonts w:ascii="Times New Roman" w:cs="Times New Roman" w:eastAsia="Times New Roman" w:hAnsi="Times New Roman"/>
          <w:sz w:val="26"/>
          <w:szCs w:val="26"/>
        </w:rPr>
        <w:t>, необ</w:t>
      </w:r>
      <w:r>
        <w:rPr>
          <w:rFonts w:ascii="Times New Roman" w:cs="Times New Roman" w:eastAsia="Times New Roman" w:hAnsi="Times New Roman"/>
          <w:sz w:val="26"/>
          <w:szCs w:val="26"/>
        </w:rPr>
        <w:t>ходимые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cs="Times New Roman" w:eastAsia="Times New Roman" w:hAnsi="Times New Roman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</w:t>
      </w:r>
    </w:p>
    <w:p w14:paraId="0000002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</w:p>
    <w:p w14:paraId="0000003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0000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cs="Times New Roman" w:hAnsi="Times New Roman"/>
          <w:sz w:val="26"/>
          <w:szCs w:val="26"/>
        </w:rPr>
        <w:t>нительно к различным контекстам.</w:t>
      </w:r>
    </w:p>
    <w:p w14:paraId="0000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cs="Times New Roman" w:hAnsi="Times New Roman"/>
          <w:sz w:val="26"/>
          <w:szCs w:val="26"/>
        </w:rPr>
        <w:t>ч профессиональной деятельности.</w:t>
      </w:r>
    </w:p>
    <w:p w14:paraId="00000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cs="Times New Roman" w:hAnsi="Times New Roman"/>
          <w:sz w:val="26"/>
          <w:szCs w:val="26"/>
        </w:rPr>
        <w:t>в различных жизненных ситуациях.</w:t>
      </w:r>
    </w:p>
    <w:p w14:paraId="000000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cs="Times New Roman" w:hAnsi="Times New Roman"/>
          <w:sz w:val="26"/>
          <w:szCs w:val="26"/>
        </w:rPr>
        <w:t>работать в коллективе и команде.</w:t>
      </w:r>
    </w:p>
    <w:p w14:paraId="00000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cs="Times New Roman" w:hAnsi="Times New Roman"/>
          <w:sz w:val="26"/>
          <w:szCs w:val="26"/>
        </w:rPr>
        <w:t>ального и культурного контекста.</w:t>
      </w:r>
    </w:p>
    <w:p w14:paraId="0000003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cs="Times New Roman" w:eastAsia="Calibri" w:hAnsi="Times New Roman"/>
          <w:sz w:val="26"/>
          <w:szCs w:val="26"/>
        </w:rPr>
        <w:t>Основы финансовой грамотности</w:t>
      </w:r>
      <w:r>
        <w:rPr>
          <w:rFonts w:ascii="Times New Roman" w:cs="Times New Roman" w:eastAsia="Calibri" w:hAnsi="Times New Roman"/>
          <w:sz w:val="26"/>
          <w:szCs w:val="26"/>
        </w:rPr>
        <w:t xml:space="preserve"> в профессиональной деятельности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профессии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:</w:t>
      </w:r>
    </w:p>
    <w:p w14:paraId="00000037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bCs/>
          <w:i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 xml:space="preserve">ЛР </w:t>
      </w: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>9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 xml:space="preserve"> </w:t>
      </w:r>
    </w:p>
    <w:p w14:paraId="00000038">
      <w:pPr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 xml:space="preserve">ЛР 15 </w:t>
      </w:r>
      <w:r>
        <w:rPr>
          <w:rFonts w:ascii="Times New Roman" w:cs="Times New Roman" w:hAnsi="Times New Roman"/>
          <w:sz w:val="26"/>
          <w:szCs w:val="26"/>
        </w:rPr>
        <w:t>Способный при взаимодействии с другими</w:t>
      </w:r>
      <w:r>
        <w:rPr>
          <w:rFonts w:ascii="Times New Roman" w:cs="Times New Roman" w:hAnsi="Times New Roman"/>
          <w:sz w:val="26"/>
          <w:szCs w:val="26"/>
        </w:rPr>
        <w:tab/>
        <w:t xml:space="preserve">людьми 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поставленных</w:t>
      </w:r>
      <w:r>
        <w:rPr>
          <w:rFonts w:ascii="Times New Roman" w:cs="Times New Roman" w:hAnsi="Times New Roman"/>
          <w:spacing w:val="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целей,</w:t>
      </w:r>
      <w:r>
        <w:rPr>
          <w:rFonts w:ascii="Times New Roman" w:cs="Times New Roman" w:hAnsi="Times New Roman"/>
          <w:spacing w:val="5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стремящийся</w:t>
      </w:r>
      <w:r>
        <w:rPr>
          <w:rFonts w:ascii="Times New Roman" w:cs="Times New Roman" w:hAnsi="Times New Roman"/>
          <w:spacing w:val="5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</w:t>
      </w:r>
      <w:r>
        <w:rPr>
          <w:rFonts w:ascii="Times New Roman" w:cs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формированию</w:t>
      </w:r>
      <w:r>
        <w:rPr>
          <w:rFonts w:ascii="Times New Roman" w:cs="Times New Roman" w:hAnsi="Times New Roman"/>
          <w:spacing w:val="5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</w:t>
      </w:r>
      <w:r>
        <w:rPr>
          <w:rFonts w:ascii="Times New Roman" w:cs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машиностроительной и металлообрабатывающей отраслях</w:t>
      </w:r>
      <w:r>
        <w:rPr>
          <w:rFonts w:ascii="Times New Roman" w:cs="Times New Roman" w:hAnsi="Times New Roman"/>
          <w:spacing w:val="1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личностного</w:t>
      </w:r>
      <w:r>
        <w:rPr>
          <w:rFonts w:ascii="Times New Roman" w:cs="Times New Roman" w:hAnsi="Times New Roman"/>
          <w:spacing w:val="1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роста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               </w:t>
      </w:r>
      <w:r>
        <w:rPr>
          <w:rFonts w:ascii="Times New Roman" w:cs="Times New Roman" w:hAnsi="Times New Roman"/>
          <w:sz w:val="26"/>
          <w:szCs w:val="26"/>
        </w:rPr>
        <w:t>как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профессионала</w:t>
      </w:r>
    </w:p>
    <w:p w14:paraId="00000039">
      <w:pPr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>ЛР 16</w:t>
      </w:r>
      <w:r>
        <w:rPr>
          <w:rFonts w:ascii="Times New Roman" w:cs="Times New Roman" w:hAnsi="Times New Roman"/>
          <w:sz w:val="26"/>
          <w:szCs w:val="26"/>
        </w:rPr>
        <w:t xml:space="preserve"> Способный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искать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находить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необходимую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информацию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используя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разнообразные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технологии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ее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поиска,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для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решения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возникающих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процессе</w:t>
      </w:r>
      <w:r>
        <w:rPr>
          <w:rFonts w:ascii="Times New Roman" w:cs="Times New Roman" w:hAnsi="Times New Roman"/>
          <w:spacing w:val="5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производственной</w:t>
      </w:r>
      <w:r>
        <w:rPr>
          <w:rFonts w:ascii="Times New Roman" w:cs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деятельности</w:t>
      </w:r>
      <w:r>
        <w:rPr>
          <w:rFonts w:ascii="Times New Roman" w:cs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проблем</w:t>
      </w:r>
      <w:r>
        <w:rPr>
          <w:rFonts w:ascii="Times New Roman" w:cs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0000003A">
      <w:pPr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bCs/>
          <w:iCs/>
          <w:sz w:val="26"/>
          <w:szCs w:val="26"/>
        </w:rPr>
      </w:pPr>
      <w:r>
        <w:rPr>
          <w:rFonts w:ascii="Times New Roman" w:cs="Times New Roman" w:eastAsia="Calibri" w:hAnsi="Times New Roman"/>
          <w:b/>
          <w:bCs/>
          <w:iCs/>
          <w:sz w:val="26"/>
          <w:szCs w:val="26"/>
        </w:rPr>
        <w:t>ЛР 17</w:t>
      </w:r>
      <w:r>
        <w:rPr>
          <w:rFonts w:ascii="Times New Roman" w:cs="Times New Roman" w:hAnsi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0000003B">
      <w:pPr>
        <w:pStyle w:val="List"/>
        <w:widowControl w:val="off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>
        <w:rPr>
          <w:rFonts w:ascii="Times New Roman" w:hAnsi="Times New Roman"/>
          <w:sz w:val="26"/>
          <w:szCs w:val="26"/>
        </w:rPr>
        <w:t>работ, в</w:t>
      </w:r>
      <w:r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0000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</w:p>
    <w:p w14:paraId="000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0000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учебной нагрузки обучающегося</w:t>
      </w:r>
      <w:r>
        <w:rPr>
          <w:rFonts w:ascii="Times New Roman" w:cs="Times New Roman" w:hAnsi="Times New Roman"/>
          <w:sz w:val="26"/>
          <w:szCs w:val="26"/>
        </w:rPr>
        <w:t xml:space="preserve"> – 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  <w:lang w:val="ru-RU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часов</w:t>
      </w:r>
      <w:r>
        <w:rPr>
          <w:rFonts w:ascii="Times New Roman" w:cs="Times New Roman" w:hAnsi="Times New Roman"/>
          <w:sz w:val="26"/>
          <w:szCs w:val="26"/>
        </w:rPr>
        <w:t>, в том числе:</w:t>
      </w:r>
    </w:p>
    <w:p w14:paraId="000000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cs="Times New Roman" w:hAnsi="Times New Roman"/>
          <w:b/>
          <w:sz w:val="26"/>
          <w:szCs w:val="26"/>
        </w:rPr>
        <w:t>4</w:t>
      </w:r>
      <w:r>
        <w:rPr>
          <w:rFonts w:ascii="Times New Roman" w:cs="Times New Roman" w:hAnsi="Times New Roman"/>
          <w:b/>
          <w:sz w:val="26"/>
          <w:szCs w:val="26"/>
          <w:lang w:val="ru-RU"/>
        </w:rPr>
        <w:t>4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часов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    </w:t>
      </w:r>
    </w:p>
    <w:p w14:paraId="00000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</w:p>
    <w:p w14:paraId="00000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br w:type="page"/>
      </w:r>
    </w:p>
    <w:p w14:paraId="00000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</w:t>
      </w:r>
      <w:r>
        <w:rPr>
          <w:rFonts w:ascii="Times New Roman" w:cs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00000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00000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cs="Times New Roman" w:hAnsi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>
        <w:trPr>
          <w:trHeight w:val="404"/>
        </w:trPr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7">
            <w:pPr>
              <w:spacing w:after="0" w:line="240"/>
              <w:ind w:left="0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8">
            <w:pPr>
              <w:spacing w:after="0" w:line="240"/>
              <w:ind w:left="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Объем часов</w:t>
            </w:r>
          </w:p>
        </w:tc>
      </w:tr>
      <w:tr>
        <w:trPr>
          <w:trHeight w:val="285"/>
        </w:trPr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9">
            <w:pPr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A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4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4</w:t>
            </w: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B">
            <w:pPr>
              <w:spacing w:after="0" w:line="240" w:lineRule="auto"/>
              <w:ind w:lef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C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4</w:t>
            </w: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4</w:t>
            </w:r>
          </w:p>
        </w:tc>
      </w:tr>
      <w:tr>
        <w:trPr/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D">
            <w:pPr>
              <w:spacing w:after="0" w:line="240"/>
              <w:ind w:left="0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E">
            <w:pPr>
              <w:spacing w:after="0" w:line="240"/>
              <w:ind w:left="0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5F">
            <w:pPr>
              <w:spacing w:after="0" w:line="240"/>
              <w:ind w:left="0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0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ru-RU"/>
              </w:rPr>
              <w:t>24</w:t>
            </w:r>
          </w:p>
        </w:tc>
      </w:tr>
      <w:tr>
        <w:trPr>
          <w:trHeight w:val="501"/>
        </w:trPr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 w14:paraId="00000061">
            <w:pPr>
              <w:spacing w:after="0" w:line="240"/>
              <w:ind w:left="0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практические занятия,</w:t>
            </w:r>
          </w:p>
          <w:p w14:paraId="00000062">
            <w:pPr>
              <w:spacing w:after="0" w:line="240"/>
              <w:ind w:left="0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т. ч. практическая подготовка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(П.П.)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0000063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18</w:t>
            </w:r>
          </w:p>
          <w:p w14:paraId="00000064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8</w:t>
            </w: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5">
            <w:pPr>
              <w:spacing w:after="0" w:line="240"/>
              <w:ind w:left="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Промежуточная аттестация в форме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ДЗ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6">
            <w:pPr>
              <w:spacing w:after="0" w:line="240"/>
              <w:ind w:left="0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</w:tc>
      </w:tr>
    </w:tbl>
    <w:p w14:paraId="00000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footerReference w:type="default" r:id="rId6"/>
          <w:pgSz w:w="11906" w:h="16838"/>
          <w:pgMar w:top="1134" w:right="850" w:bottom="1134" w:left="1701" w:header="708" w:footer="708" w:gutter="0"/>
          <w:cols w:space="708"/>
        </w:sectPr>
      </w:pPr>
    </w:p>
    <w:p w14:paraId="00000068">
      <w:pPr>
        <w:tabs>
          <w:tab w:val="left" w:pos="708"/>
        </w:tabs>
        <w:spacing w:after="0" w:line="240" w:lineRule="auto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2.2 Тематический план и содержание учебной дисциплины </w:t>
      </w:r>
      <w:r>
        <w:rPr>
          <w:rFonts w:ascii="Times New Roman" w:cs="Times New Roman" w:hAnsi="Times New Roman"/>
          <w:b/>
          <w:sz w:val="26"/>
          <w:szCs w:val="26"/>
        </w:rPr>
        <w:t>СГ.0</w:t>
      </w:r>
      <w:r>
        <w:rPr>
          <w:rFonts w:ascii="Times New Roman" w:cs="Times New Roman" w:hAnsi="Times New Roman"/>
          <w:b/>
          <w:sz w:val="26"/>
          <w:szCs w:val="26"/>
        </w:rPr>
        <w:t>6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b/>
          <w:sz w:val="26"/>
          <w:szCs w:val="26"/>
        </w:rPr>
        <w:t>Основы финансовой грамотности</w:t>
      </w:r>
    </w:p>
    <w:p w14:paraId="00000069">
      <w:pPr>
        <w:tabs>
          <w:tab w:val="left" w:pos="708"/>
        </w:tabs>
        <w:spacing w:after="0" w:line="240" w:lineRule="auto"/>
        <w:rPr>
          <w:rFonts w:ascii="Times New Roman" w:cs="Times New Roman" w:eastAsia="Calibri" w:hAnsi="Times New Roman"/>
          <w:sz w:val="26"/>
          <w:szCs w:val="26"/>
        </w:rPr>
      </w:pPr>
    </w:p>
    <w:p w14:paraId="0000006A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>
        <w:trPr>
          <w:trHeight w:val="812"/>
        </w:trPr>
        <w:tc>
          <w:tcPr>
            <w:cnfStyle w:val="101000000000"/>
            <w:tcW w:w="2978" w:type="dxa"/>
            <w:tcBorders>
              <w:top w:val="single" w:color="auto" w:sz="4" w:space="0"/>
              <w:left w:val="single" w:color="auto" w:sz="4" w:space="0"/>
            </w:tcBorders>
          </w:tcPr>
          <w:p w14:paraId="0000006B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cnfStyle w:val="100010000000"/>
            <w:tcW w:w="9069" w:type="dxa"/>
            <w:tcBorders>
              <w:top w:val="single" w:color="auto" w:sz="4" w:space="0"/>
            </w:tcBorders>
          </w:tcPr>
          <w:p w14:paraId="0000006C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cnfStyle w:val="100001000000"/>
            <w:tcW w:w="1704" w:type="dxa"/>
            <w:tcBorders>
              <w:top w:val="single" w:color="auto" w:sz="4" w:space="0"/>
            </w:tcBorders>
          </w:tcPr>
          <w:p w14:paraId="0000006D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</w:rPr>
              <w:t>Объем часов</w:t>
            </w:r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cnfStyle w:val="100100000000"/>
            <w:tcW w:w="1984" w:type="dxa"/>
            <w:tcBorders>
              <w:top w:val="single" w:color="auto" w:sz="4" w:space="0"/>
              <w:right w:val="single" w:color="auto" w:sz="4" w:space="0"/>
            </w:tcBorders>
          </w:tcPr>
          <w:p w14:paraId="0000006E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>
        <w:trPr>
          <w:trHeight w:val="275"/>
        </w:trPr>
        <w:tc>
          <w:tcPr>
            <w:cnfStyle w:val="001000100000"/>
            <w:tcW w:w="2978" w:type="dxa"/>
            <w:tcBorders>
              <w:left w:val="single" w:color="auto" w:sz="4" w:space="0"/>
            </w:tcBorders>
          </w:tcPr>
          <w:p w14:paraId="0000006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cnfStyle w:val="000010100000"/>
            <w:tcW w:w="9069" w:type="dxa"/>
          </w:tcPr>
          <w:p w14:paraId="00000070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cnfStyle w:val="000001100000"/>
            <w:tcW w:w="1704" w:type="dxa"/>
          </w:tcPr>
          <w:p w14:paraId="00000071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cnfStyle w:val="000100100000"/>
            <w:tcW w:w="1984" w:type="dxa"/>
            <w:tcBorders>
              <w:right w:val="single" w:color="auto" w:sz="4" w:space="0"/>
            </w:tcBorders>
          </w:tcPr>
          <w:p w14:paraId="00000072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12047" w:type="dxa"/>
            <w:gridSpan w:val="2"/>
            <w:tcBorders>
              <w:left w:val="single" w:color="auto" w:sz="4" w:space="0"/>
            </w:tcBorders>
            <w:shd w:val="clear" w:color="auto" w:fill="eaf0dd"/>
          </w:tcPr>
          <w:p w14:paraId="0000007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cnfStyle w:val="000010010000"/>
            <w:tcW w:w="1704" w:type="dxa"/>
            <w:shd w:val="clear" w:color="auto" w:fill="eaf0dd"/>
          </w:tcPr>
          <w:p w14:paraId="0000007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cnfStyle w:val="000100010000"/>
            <w:tcW w:w="1984" w:type="dxa"/>
            <w:tcBorders>
              <w:right w:val="single" w:color="auto" w:sz="4" w:space="0"/>
            </w:tcBorders>
            <w:shd w:val="clear" w:color="auto" w:fill="eaf0dd"/>
          </w:tcPr>
          <w:p w14:paraId="00000075">
            <w:pPr>
              <w:pStyle w:val="TableParagraph"/>
              <w:rPr>
                <w:sz w:val="26"/>
                <w:szCs w:val="26"/>
              </w:rPr>
            </w:pPr>
          </w:p>
        </w:tc>
      </w:tr>
      <w:tr>
        <w:trPr>
          <w:trHeight w:val="867"/>
        </w:trPr>
        <w:tc>
          <w:tcPr>
            <w:cnfStyle w:val="001000100000"/>
            <w:tcW w:w="2978" w:type="dxa"/>
            <w:vMerge w:val="restart"/>
            <w:tcBorders>
              <w:left w:val="single" w:color="auto" w:sz="4" w:space="0"/>
            </w:tcBorders>
          </w:tcPr>
          <w:p w14:paraId="00000076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1.</w:t>
            </w:r>
          </w:p>
          <w:p w14:paraId="00000077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Банки: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чем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они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могут</w:t>
            </w:r>
          </w:p>
          <w:p w14:paraId="00000078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быть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полезны</w:t>
            </w:r>
          </w:p>
          <w:p w14:paraId="00000079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</w:tcPr>
          <w:p w14:paraId="0000007A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>
              <w:rPr>
                <w:sz w:val="24"/>
                <w:lang w:val="ru-RU"/>
              </w:rPr>
              <w:t>Банковская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России.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Текущие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счета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банковские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карты </w:t>
            </w:r>
          </w:p>
          <w:p w14:paraId="0000007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>
              <w:rPr>
                <w:sz w:val="24"/>
                <w:lang w:val="ru-RU"/>
              </w:rPr>
              <w:t>Сберегательные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вклады: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они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работают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сделать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выбор</w:t>
            </w:r>
          </w:p>
          <w:p w14:paraId="0000007C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5-6 </w:t>
            </w:r>
            <w:r>
              <w:rPr>
                <w:sz w:val="24"/>
                <w:lang w:val="ru-RU"/>
              </w:rPr>
              <w:t>Кредиты: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когда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брать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оценить.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способы получения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кредитов.</w:t>
            </w:r>
          </w:p>
          <w:p w14:paraId="0000007D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100000"/>
            <w:tcW w:w="1704" w:type="dxa"/>
          </w:tcPr>
          <w:p w14:paraId="0000007E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000007F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0000080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0000081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100100000"/>
            <w:tcW w:w="1984" w:type="dxa"/>
            <w:tcBorders>
              <w:bottom w:val="single" w:color="auto" w:sz="4" w:space="0"/>
              <w:right w:val="single" w:color="auto" w:sz="4" w:space="0"/>
            </w:tcBorders>
          </w:tcPr>
          <w:p w14:paraId="0000008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0000008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420"/>
        </w:trPr>
        <w:tc>
          <w:tcPr>
            <w:cnfStyle w:val="001000010000"/>
            <w:tcW w:w="2978" w:type="dxa"/>
            <w:vMerge w:val="continue"/>
            <w:tcBorders>
              <w:left w:val="single" w:color="auto" w:sz="4" w:space="0"/>
            </w:tcBorders>
          </w:tcPr>
          <w:p w14:paraId="00000084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69" w:type="dxa"/>
          </w:tcPr>
          <w:p w14:paraId="00000085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00000086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Кредиты: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когда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брать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оценить.</w:t>
            </w:r>
          </w:p>
          <w:p w14:paraId="0000008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01010000"/>
            <w:tcW w:w="1704" w:type="dxa"/>
          </w:tcPr>
          <w:p w14:paraId="00000088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00000089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right w:val="single" w:color="auto" w:sz="4" w:space="0"/>
            </w:tcBorders>
          </w:tcPr>
          <w:p w14:paraId="0000008A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0000008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750"/>
        </w:trPr>
        <w:tc>
          <w:tcPr>
            <w:cnfStyle w:val="001000100000"/>
            <w:tcW w:w="2978" w:type="dxa"/>
            <w:vMerge w:val="restart"/>
          </w:tcPr>
          <w:p w14:paraId="0000008C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0000008D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 Фондовый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</w:p>
          <w:p w14:paraId="0000008E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валютный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рынки: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как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их</w:t>
            </w:r>
          </w:p>
          <w:p w14:paraId="0000008F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0000009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cnfStyle w:val="000010100000"/>
            <w:tcW w:w="9069" w:type="dxa"/>
          </w:tcPr>
          <w:p w14:paraId="00000091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 </w:t>
            </w:r>
            <w:r>
              <w:rPr>
                <w:sz w:val="24"/>
                <w:lang w:val="ru-RU"/>
              </w:rPr>
              <w:t>Риск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доходность</w:t>
            </w:r>
            <w:r>
              <w:rPr>
                <w:sz w:val="24"/>
                <w:lang w:val="ru-RU"/>
              </w:rPr>
              <w:t>.</w:t>
            </w:r>
          </w:p>
          <w:p w14:paraId="00000092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Облигации.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фондовая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биржа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кто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может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торговать</w:t>
            </w:r>
          </w:p>
        </w:tc>
        <w:tc>
          <w:tcPr>
            <w:cnfStyle w:val="000001100000"/>
            <w:tcW w:w="1704" w:type="dxa"/>
          </w:tcPr>
          <w:p w14:paraId="00000093">
            <w:pPr>
              <w:pStyle w:val="TableParagraph"/>
              <w:jc w:val="center"/>
              <w:rPr>
                <w:sz w:val="26"/>
                <w:szCs w:val="26"/>
                <w:highlight w:val="none"/>
                <w:lang w:val="ru-RU"/>
              </w:rPr>
            </w:pPr>
            <w:r>
              <w:rPr>
                <w:sz w:val="26"/>
                <w:szCs w:val="26"/>
                <w:highlight w:val="none"/>
                <w:lang w:val="ru-RU"/>
              </w:rPr>
              <w:t>1</w:t>
            </w:r>
          </w:p>
          <w:p w14:paraId="0000009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highlight w:val="none"/>
                <w:lang w:val="ru-RU"/>
              </w:rPr>
              <w:t>1</w:t>
            </w:r>
          </w:p>
        </w:tc>
        <w:tc>
          <w:tcPr>
            <w:cnfStyle w:val="000100100000"/>
            <w:tcW w:w="1984" w:type="dxa"/>
          </w:tcPr>
          <w:p w14:paraId="00000095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550"/>
        </w:trPr>
        <w:tc>
          <w:tcPr>
            <w:cnfStyle w:val="001000010000"/>
            <w:tcW w:w="2978" w:type="dxa"/>
            <w:vMerge w:val="continue"/>
            <w:tcBorders>
              <w:bottom w:val="single" w:color="000000" w:sz="4" w:space="0"/>
            </w:tcBorders>
          </w:tcPr>
          <w:p w14:paraId="0000009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69" w:type="dxa"/>
            <w:tcBorders>
              <w:top w:val="single" w:color="auto" w:sz="4" w:space="0"/>
            </w:tcBorders>
          </w:tcPr>
          <w:p w14:paraId="00000097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00000098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11-12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Расчет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доходности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заданным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</w:tcBorders>
          </w:tcPr>
          <w:p w14:paraId="00000099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bottom w:val="single" w:color="000000" w:sz="4" w:space="0"/>
            </w:tcBorders>
          </w:tcPr>
          <w:p w14:paraId="0000009A">
            <w:pPr>
              <w:jc w:val="center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</w:p>
          <w:p w14:paraId="0000009B">
            <w:pPr>
              <w:jc w:val="center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</w:p>
          <w:p w14:paraId="0000009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587"/>
        </w:trPr>
        <w:tc>
          <w:tcPr>
            <w:cnfStyle w:val="001000100000"/>
            <w:tcW w:w="2978" w:type="dxa"/>
            <w:vMerge w:val="restart"/>
          </w:tcPr>
          <w:p w14:paraId="0000009D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 3. Страхование: что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 как надо страховать,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чтобы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не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попасть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в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cnfStyle w:val="000010100000"/>
            <w:tcW w:w="9069" w:type="dxa"/>
          </w:tcPr>
          <w:p w14:paraId="0000009E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Страхование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имущества: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работает</w:t>
            </w:r>
          </w:p>
          <w:p w14:paraId="0000009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15-16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Страхование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жизни.</w:t>
            </w:r>
          </w:p>
        </w:tc>
        <w:tc>
          <w:tcPr>
            <w:cnfStyle w:val="000001100000"/>
            <w:tcW w:w="1704" w:type="dxa"/>
          </w:tcPr>
          <w:p w14:paraId="000000A0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A1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</w:tcPr>
          <w:p w14:paraId="000000A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586"/>
        </w:trPr>
        <w:tc>
          <w:tcPr>
            <w:cnfStyle w:val="001000010000"/>
            <w:tcW w:w="2978" w:type="dxa"/>
            <w:vMerge w:val="continue"/>
          </w:tcPr>
          <w:p w14:paraId="000000A3">
            <w:pPr>
              <w:pStyle w:val="TableParagraph"/>
              <w:rPr>
                <w:b/>
                <w:sz w:val="24"/>
              </w:rPr>
            </w:pPr>
          </w:p>
        </w:tc>
        <w:tc>
          <w:tcPr>
            <w:cnfStyle w:val="000010010000"/>
            <w:tcW w:w="9069" w:type="dxa"/>
          </w:tcPr>
          <w:p w14:paraId="000000A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000000A5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17-18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Страхование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имущества: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работает</w:t>
            </w:r>
          </w:p>
        </w:tc>
        <w:tc>
          <w:tcPr>
            <w:cnfStyle w:val="000001010000"/>
            <w:tcW w:w="1704" w:type="dxa"/>
          </w:tcPr>
          <w:p w14:paraId="000000A6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cnfStyle w:val="000100010000"/>
            <w:tcW w:w="1984" w:type="dxa"/>
          </w:tcPr>
          <w:p w14:paraId="000000A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311"/>
        </w:trPr>
        <w:tc>
          <w:tcPr>
            <w:cnfStyle w:val="001000100000"/>
            <w:tcW w:w="1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cnfStyle w:val="0000101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>
        <w:trPr>
          <w:trHeight w:val="669"/>
        </w:trPr>
        <w:tc>
          <w:tcPr>
            <w:cnfStyle w:val="001000010000"/>
            <w:tcW w:w="2978" w:type="dxa"/>
            <w:vMerge w:val="restart"/>
            <w:tcBorders>
              <w:top w:val="single" w:color="auto" w:sz="4" w:space="0"/>
              <w:bottom w:val="single" w:color="000000" w:sz="4" w:space="0"/>
            </w:tcBorders>
          </w:tcPr>
          <w:p w14:paraId="000000AB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 1 Налоги: почему их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надо платить и чем грозит</w:t>
            </w:r>
            <w:r>
              <w:rPr>
                <w:b/>
                <w:spacing w:val="-58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cnfStyle w:val="000010010000"/>
            <w:tcW w:w="9069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00000AC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Зачем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нужны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налоги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налогов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существуют</w:t>
            </w:r>
          </w:p>
          <w:p w14:paraId="000000AD">
            <w:pPr>
              <w:pStyle w:val="Header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Подача</w:t>
            </w:r>
            <w:r>
              <w:rPr>
                <w:rFonts w:ascii="Times New Roman" w:cs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налоговой</w:t>
            </w:r>
            <w:r>
              <w:rPr>
                <w:rFonts w:ascii="Times New Roman" w:cs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декларации.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0000AE">
            <w:pPr>
              <w:pStyle w:val="TableParagraph"/>
              <w:spacing w:before="3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1</w:t>
            </w:r>
          </w:p>
          <w:p w14:paraId="000000AF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szCs w:val="26"/>
                <w:highlight w:val="none"/>
                <w:lang w:val="ru-RU"/>
              </w:rPr>
              <w:t>1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 w14:paraId="000000B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0000B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00000B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562"/>
        </w:trPr>
        <w:tc>
          <w:tcPr>
            <w:cnfStyle w:val="001000100000"/>
            <w:tcW w:w="2978" w:type="dxa"/>
            <w:vMerge w:val="continue"/>
          </w:tcPr>
          <w:p w14:paraId="000000B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</w:tcBorders>
          </w:tcPr>
          <w:p w14:paraId="000000B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000000B5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Расчет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налогов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</w:tcBorders>
          </w:tcPr>
          <w:p w14:paraId="000000B6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</w:tcBorders>
          </w:tcPr>
          <w:p w14:paraId="000000B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562"/>
        </w:trPr>
        <w:tc>
          <w:tcPr>
            <w:cnfStyle w:val="001000010000"/>
            <w:tcW w:w="2978" w:type="dxa"/>
            <w:vMerge w:val="restart"/>
          </w:tcPr>
          <w:p w14:paraId="000000B8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 2 Обеспеченная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старость: возможности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пенсионного</w:t>
            </w:r>
            <w:r>
              <w:rPr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cnfStyle w:val="000010010000"/>
            <w:tcW w:w="9069" w:type="dxa"/>
            <w:tcBorders>
              <w:top w:val="nil" w:sz="4" w:space="0"/>
            </w:tcBorders>
          </w:tcPr>
          <w:p w14:paraId="000000B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Обязательное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пенсионное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страхование </w:t>
            </w:r>
          </w:p>
          <w:p w14:paraId="000000BA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Добровольное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пенсионное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обеспечение.</w:t>
            </w:r>
          </w:p>
        </w:tc>
        <w:tc>
          <w:tcPr>
            <w:cnfStyle w:val="000001010000"/>
            <w:tcW w:w="1704" w:type="dxa"/>
            <w:tcBorders>
              <w:top w:val="nil" w:sz="4" w:space="0"/>
            </w:tcBorders>
          </w:tcPr>
          <w:p w14:paraId="000000BB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00000B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100010000"/>
            <w:tcW w:w="1984" w:type="dxa"/>
          </w:tcPr>
          <w:p w14:paraId="000000B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422"/>
        </w:trPr>
        <w:tc>
          <w:tcPr>
            <w:cnfStyle w:val="001000100000"/>
            <w:tcW w:w="2978" w:type="dxa"/>
            <w:vMerge w:val="continue"/>
          </w:tcPr>
          <w:p w14:paraId="000000BE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  <w:tcBorders>
              <w:top w:val="nil" w:sz="4" w:space="0"/>
            </w:tcBorders>
          </w:tcPr>
          <w:p w14:paraId="000000BF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25-26</w:t>
            </w:r>
            <w:r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>
              <w:rPr>
                <w:sz w:val="24"/>
                <w:lang w:val="ru-RU"/>
              </w:rPr>
              <w:t>накопления</w:t>
            </w:r>
          </w:p>
        </w:tc>
        <w:tc>
          <w:tcPr>
            <w:cnfStyle w:val="000001100000"/>
            <w:tcW w:w="1704" w:type="dxa"/>
            <w:tcBorders>
              <w:top w:val="nil" w:sz="4" w:space="0"/>
            </w:tcBorders>
          </w:tcPr>
          <w:p w14:paraId="000000C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</w:tcPr>
          <w:p w14:paraId="000000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278"/>
        </w:trPr>
        <w:tc>
          <w:tcPr>
            <w:cnfStyle w:val="001000010000"/>
            <w:tcW w:w="1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cnfStyle w:val="00001001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4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519"/>
        </w:trPr>
        <w:tc>
          <w:tcPr>
            <w:cnfStyle w:val="001000100000"/>
            <w:tcW w:w="2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5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 1 Финансовые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механизмы работы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6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27-28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7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1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427"/>
        </w:trPr>
        <w:tc>
          <w:tcPr>
            <w:cnfStyle w:val="001000010000"/>
            <w:tcW w:w="297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9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A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Эффективность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компании,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банкротство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безработица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B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1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703"/>
        </w:trPr>
        <w:tc>
          <w:tcPr>
            <w:cnfStyle w:val="001000100000"/>
            <w:tcW w:w="297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CD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E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000000CF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31-32 </w:t>
            </w:r>
            <w:r>
              <w:rPr>
                <w:sz w:val="24"/>
                <w:lang w:val="ru-RU"/>
              </w:rPr>
              <w:t>Финансовые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механизмы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фирмы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401"/>
        </w:trPr>
        <w:tc>
          <w:tcPr>
            <w:cnfStyle w:val="001000010000"/>
            <w:tcW w:w="2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Тема 2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Собственный</w:t>
            </w:r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бизнес: как создать и не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cnfStyle w:val="00001001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3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33-34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Чем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предпринимательская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отличается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найму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4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010000"/>
            <w:tcW w:w="1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5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280"/>
        </w:trPr>
        <w:tc>
          <w:tcPr>
            <w:cnfStyle w:val="001000100000"/>
            <w:tcW w:w="297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7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Создание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собственной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компании: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шаг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шагом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100100000"/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695"/>
        </w:trPr>
        <w:tc>
          <w:tcPr>
            <w:cnfStyle w:val="001000010000"/>
            <w:tcW w:w="297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A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B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000000DC">
            <w:pPr>
              <w:pStyle w:val="Header"/>
              <w:spacing w:line="270" w:lineRule="exact"/>
              <w:ind w:left="105"/>
              <w:rPr>
                <w:rFonts w:ascii="Times New Roman" w:cs="Times New Roman" w:hAnsi="Times New Roman"/>
                <w:sz w:val="24"/>
                <w:lang w:val="ru-RU"/>
              </w:rPr>
            </w:pPr>
            <w:r>
              <w:rPr>
                <w:rFonts w:ascii="Times New Roman" w:cs="Times New Roman" w:hAnsi="Times New Roman"/>
                <w:sz w:val="24"/>
                <w:lang w:val="ru-RU"/>
              </w:rPr>
              <w:t>37-38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39-40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41-42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Составление</w:t>
            </w:r>
            <w:r>
              <w:rPr>
                <w:rFonts w:ascii="Times New Roman" w:cs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бизнес-план</w:t>
            </w:r>
            <w:r>
              <w:rPr>
                <w:rFonts w:ascii="Times New Roman" w:cs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cs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ru-RU"/>
              </w:rPr>
              <w:t>алгоритму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D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278"/>
        </w:trPr>
        <w:tc>
          <w:tcPr>
            <w:cnfStyle w:val="001000100000"/>
            <w:tcW w:w="2978" w:type="dxa"/>
            <w:tcBorders>
              <w:left w:val="single" w:color="auto" w:sz="4" w:space="0"/>
              <w:right w:val="single" w:color="auto" w:sz="4" w:space="0"/>
            </w:tcBorders>
          </w:tcPr>
          <w:p w14:paraId="000000DF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0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000000E1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43-44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Промежуточная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аттестация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в форме </w:t>
            </w:r>
            <w:r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E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278"/>
        </w:trPr>
        <w:tc>
          <w:tcPr>
            <w:cnfStyle w:val="011000000000"/>
            <w:tcW w:w="2978" w:type="dxa"/>
            <w:tcBorders>
              <w:left w:val="single" w:color="auto" w:sz="4" w:space="0"/>
              <w:right w:val="single" w:color="auto" w:sz="4" w:space="0"/>
            </w:tcBorders>
          </w:tcPr>
          <w:p w14:paraId="000000E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1001000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cnfStyle w:val="0100010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6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</w:t>
            </w:r>
          </w:p>
        </w:tc>
        <w:tc>
          <w:tcPr>
            <w:cnfStyle w:val="0101000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E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000000E8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E9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</w:t>
      </w:r>
      <w:r>
        <w:rPr>
          <w:rFonts w:ascii="Times New Roman" w:cs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00000EA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00000EB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00000EC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00000ED">
      <w:pPr>
        <w:tabs>
          <w:tab w:val="left" w:pos="2820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 w14:paraId="000000EE">
      <w:pPr>
        <w:tabs>
          <w:tab w:val="left" w:pos="274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  <w:r>
        <w:rPr>
          <w:rFonts w:ascii="Times New Roman" w:cs="Times New Roman" w:hAnsi="Times New Roman"/>
          <w:sz w:val="26"/>
          <w:szCs w:val="26"/>
        </w:rPr>
        <w:tab/>
      </w:r>
    </w:p>
    <w:p w14:paraId="000000EF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000000F0">
      <w:pPr>
        <w:pStyle w:val="Default"/>
        <w:jc w:val="center"/>
        <w:rPr>
          <w:color w:val="auto"/>
          <w:sz w:val="26"/>
          <w:szCs w:val="26"/>
        </w:rPr>
      </w:pPr>
    </w:p>
    <w:p w14:paraId="000000F1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3.1. </w:t>
      </w:r>
      <w:r>
        <w:rPr>
          <w:bCs/>
          <w:color w:val="auto"/>
          <w:sz w:val="26"/>
          <w:szCs w:val="26"/>
        </w:rPr>
        <w:t>Требования</w:t>
      </w:r>
      <w:r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00000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р</w:t>
      </w:r>
      <w:r>
        <w:rPr>
          <w:rFonts w:ascii="Times New Roman" w:cs="Times New Roman" w:hAnsi="Times New Roman"/>
          <w:sz w:val="26"/>
          <w:szCs w:val="26"/>
        </w:rPr>
        <w:t>еализаци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 xml:space="preserve"> учебной дисциплины </w:t>
      </w:r>
      <w:r>
        <w:rPr>
          <w:rFonts w:ascii="Times New Roman" w:cs="Times New Roman" w:hAnsi="Times New Roman"/>
          <w:sz w:val="26"/>
          <w:szCs w:val="26"/>
        </w:rPr>
        <w:t>имеется в</w:t>
      </w:r>
      <w:r>
        <w:rPr>
          <w:rFonts w:ascii="Times New Roman" w:cs="Times New Roman" w:hAnsi="Times New Roman"/>
          <w:sz w:val="26"/>
          <w:szCs w:val="26"/>
        </w:rPr>
        <w:t xml:space="preserve"> наличи</w:t>
      </w:r>
      <w:r>
        <w:rPr>
          <w:rFonts w:ascii="Times New Roman" w:cs="Times New Roman" w:hAnsi="Times New Roman"/>
          <w:sz w:val="26"/>
          <w:szCs w:val="26"/>
        </w:rPr>
        <w:t>и учебный</w:t>
      </w:r>
      <w:r>
        <w:rPr>
          <w:rFonts w:ascii="Times New Roman" w:cs="Times New Roman" w:hAnsi="Times New Roman"/>
          <w:sz w:val="26"/>
          <w:szCs w:val="26"/>
        </w:rPr>
        <w:t xml:space="preserve"> кабинет</w:t>
      </w:r>
      <w:r>
        <w:rPr>
          <w:rFonts w:ascii="Times New Roman" w:cs="Times New Roman" w:hAnsi="Times New Roman"/>
          <w:sz w:val="26"/>
          <w:szCs w:val="26"/>
        </w:rPr>
        <w:t xml:space="preserve"> «Социально-</w:t>
      </w:r>
      <w:r>
        <w:rPr>
          <w:rFonts w:ascii="Times New Roman" w:cs="Times New Roman" w:hAnsi="Times New Roman"/>
          <w:sz w:val="26"/>
          <w:szCs w:val="26"/>
        </w:rPr>
        <w:t>гуманитарных</w:t>
      </w:r>
      <w:r>
        <w:rPr>
          <w:rFonts w:ascii="Times New Roman" w:cs="Times New Roman" w:hAnsi="Times New Roman"/>
          <w:sz w:val="26"/>
          <w:szCs w:val="26"/>
        </w:rPr>
        <w:t xml:space="preserve"> дисциплин»</w:t>
      </w:r>
      <w:r>
        <w:rPr>
          <w:rFonts w:ascii="Times New Roman" w:cs="Times New Roman" w:hAnsi="Times New Roman"/>
          <w:sz w:val="26"/>
          <w:szCs w:val="26"/>
        </w:rPr>
        <w:t xml:space="preserve">. </w:t>
      </w:r>
    </w:p>
    <w:p w14:paraId="00000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Оборудование учебного кабинета:</w:t>
      </w:r>
    </w:p>
    <w:p w14:paraId="00000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14:paraId="0000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рабочее место преподавателя;</w:t>
      </w:r>
    </w:p>
    <w:p w14:paraId="00000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- комплект учебно-наглядных пособий </w:t>
      </w:r>
    </w:p>
    <w:p w14:paraId="00000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/>
          <w:bCs/>
          <w:i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Технические средства обучения:</w:t>
      </w:r>
    </w:p>
    <w:p w14:paraId="00000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00000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интерактивная доска.</w:t>
      </w:r>
    </w:p>
    <w:p w14:paraId="000000FA">
      <w:pPr>
        <w:spacing w:after="0" w:line="240" w:lineRule="auto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000000FB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00000FC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14:paraId="000000FD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14:paraId="000000FE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</w:p>
    <w:p w14:paraId="000000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0000100">
      <w:pPr>
        <w:pStyle w:val="BodyText"/>
        <w:spacing w:before="3"/>
        <w:rPr>
          <w:sz w:val="24"/>
        </w:rPr>
      </w:pPr>
    </w:p>
    <w:p w14:paraId="00000101">
      <w:pPr>
        <w:widowControl w:val="off"/>
        <w:tabs>
          <w:tab w:val="left" w:pos="1530"/>
        </w:tabs>
        <w:spacing w:after="0" w:line="274" w:lineRule="exact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Основные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источники</w:t>
      </w:r>
    </w:p>
    <w:p w14:paraId="00000102">
      <w:pPr>
        <w:spacing w:after="0" w:line="240" w:lineRule="auto"/>
        <w:ind w:right="0" w:firstLine="567"/>
        <w:rPr>
          <w:rFonts w:ascii="Times New Roman" w:cs="Times New Roman" w:eastAsia="Calibri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sz w:val="28"/>
          <w:szCs w:val="28"/>
        </w:rPr>
        <w:t>1.</w:t>
      </w:r>
      <w:r>
        <w:rPr>
          <w:rFonts w:ascii="Times New Roman" w:cs="Times New Roman" w:eastAsia="Calibri" w:hAnsi="Times New Roman"/>
          <w:sz w:val="26"/>
          <w:szCs w:val="26"/>
        </w:rPr>
        <w:t>Жданова А.О., Савицкая Е.В. Финанасовая грамотность: материалы для СПО.-М.:ВАКО,2020</w:t>
      </w:r>
    </w:p>
    <w:p w14:paraId="00000103">
      <w:pPr>
        <w:widowControl w:val="off"/>
        <w:tabs>
          <w:tab w:val="left" w:pos="1530"/>
        </w:tabs>
        <w:spacing w:after="0" w:line="240" w:lineRule="auto"/>
        <w:ind w:right="0" w:firstLine="567"/>
        <w:jc w:val="both"/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sz w:val="26"/>
          <w:szCs w:val="26"/>
        </w:rPr>
        <w:t xml:space="preserve">2. Мысляева, И. Н. Государственные и муниципальные финансы : учебник / И.Н. Мысляева. — 5-е изд., перераб. и доп. — Москва : ИНФРА-М, 2022. — 445 с. — (Среднее профессиональное образование). - ISBN 978-5-16-015383-4. - Текст : электронный. - URL: 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begin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instrText xml:space="preserve">HYPERLINK "https://znanium.com/catalog/product/1864084" </w:instrTex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separate"/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t>https://znanium.com/catalog/product/1864084</w:t>
      </w:r>
      <w:r>
        <w:rPr>
          <w:rFonts w:ascii="Times New Roman" w:cs="Times New Roman" w:eastAsia="Calibri" w:hAnsi="Times New Roman"/>
          <w:color w:val="0000ff"/>
          <w:sz w:val="26"/>
          <w:szCs w:val="26"/>
          <w:u w:val="single"/>
        </w:rPr>
        <w:fldChar w:fldCharType="end"/>
      </w:r>
    </w:p>
    <w:p w14:paraId="00000104">
      <w:pPr>
        <w:pStyle w:val="ListParagraph"/>
        <w:widowControl w:val="off"/>
        <w:tabs>
          <w:tab w:val="left" w:pos="640"/>
        </w:tabs>
        <w:spacing w:after="0"/>
        <w:ind w:left="0" w:right="1"/>
        <w:contextualSpacing w:val="off"/>
        <w:rPr>
          <w:rFonts w:ascii="Times New Roman" w:cs="Times New Roman" w:hAnsi="Times New Roman"/>
          <w:sz w:val="26"/>
          <w:szCs w:val="26"/>
        </w:rPr>
      </w:pPr>
    </w:p>
    <w:p w14:paraId="00000105">
      <w:pPr>
        <w:widowControl w:val="off"/>
        <w:tabs>
          <w:tab w:val="left" w:pos="1000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Основные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электронные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издания</w:t>
      </w:r>
    </w:p>
    <w:p w14:paraId="00000106">
      <w:pPr>
        <w:pStyle w:val="ListParagraph"/>
        <w:widowControl w:val="off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"https://e-learning.tspk-mo.ru/mck/"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https://e-learning.tspk-mo.ru/mck/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Цифровой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колледж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Подмосковья</w:t>
      </w:r>
    </w:p>
    <w:p w14:paraId="00000107">
      <w:pPr>
        <w:pStyle w:val="ListParagraph"/>
        <w:widowControl w:val="off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https://resh.edu.ru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российская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электронная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школа</w:t>
      </w:r>
    </w:p>
    <w:p w14:paraId="00000108">
      <w:pPr>
        <w:pStyle w:val="ListParagraph"/>
        <w:widowControl w:val="off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Электронная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библиотечная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система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ЮРАЙТ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"http://urait.ru/ebs"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http://urait.ru/ebs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</w:p>
    <w:p w14:paraId="00000109">
      <w:pPr>
        <w:pStyle w:val="ListParagraph"/>
        <w:widowControl w:val="off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Электронная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библиотечная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система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ЗНАНИУМ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"http://znanium.com/"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http://znanium.com/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</w:p>
    <w:p w14:paraId="0000010A">
      <w:pPr>
        <w:pStyle w:val="ListParagraph"/>
        <w:widowControl w:val="off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right="960" w:hanging="3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Электронная библиотека Издательский центр «Академия» http://www.academia-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moscow.ru/elibrary/</w:t>
      </w:r>
    </w:p>
    <w:p w14:paraId="0000010B">
      <w:pPr>
        <w:widowControl w:val="off"/>
        <w:tabs>
          <w:tab w:val="left" w:pos="0"/>
          <w:tab w:val="left" w:pos="284"/>
        </w:tabs>
        <w:spacing w:after="0" w:line="240" w:lineRule="auto"/>
        <w:ind w:right="960"/>
        <w:rPr>
          <w:rFonts w:ascii="Times New Roman" w:cs="Times New Roman" w:hAnsi="Times New Roman"/>
          <w:sz w:val="26"/>
          <w:szCs w:val="26"/>
        </w:rPr>
      </w:pPr>
    </w:p>
    <w:p w14:paraId="0000010C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СПС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«Гарант»</w:t>
      </w:r>
    </w:p>
    <w:p w14:paraId="0000010D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СПС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«Консультант</w:t>
      </w:r>
      <w:r>
        <w:rPr>
          <w:rFonts w:ascii="Times New Roman" w:cs="Times New Roman" w:hAnsi="Times New Roman"/>
          <w:spacing w:val="-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Плюс»</w:t>
      </w:r>
    </w:p>
    <w:p w14:paraId="0000010E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"http://schukareva.jimdo.com/"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http://schukareva.jimdo.com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</w:p>
    <w:p w14:paraId="0000010F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ind w:left="402" w:right="1427" w:hanging="3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https://fira.ru - сервис для проверки предприятий и работы с экономической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статистикой.</w:t>
      </w:r>
    </w:p>
    <w:p w14:paraId="00000110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https://nalog-nalog.ru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бухгалтерские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новости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статьи.</w:t>
      </w:r>
    </w:p>
    <w:p w14:paraId="00000111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https://npfsberbanka.ru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НПФ «Сбербанк».</w:t>
      </w:r>
    </w:p>
    <w:p w14:paraId="00000112">
      <w:pPr>
        <w:widowControl w:val="off"/>
        <w:tabs>
          <w:tab w:val="left" w:pos="1109"/>
          <w:tab w:val="left" w:pos="1110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 w14:paraId="00000113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ind w:left="402" w:right="1327" w:hanging="3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"http://ru.investing.com/"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 xml:space="preserve">http://ru.investing.com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 финансовый портал (данные по финансовым рынкам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России).</w:t>
      </w:r>
    </w:p>
    <w:p w14:paraId="00000114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https://secretmag.ru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журнал «Секрет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фирмы».</w:t>
      </w:r>
    </w:p>
    <w:p w14:paraId="00000115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"http://tpprf.ru/ru"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http://tpprf.ru/ru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Торгово-промышленная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палата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Российской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Федерации.</w:t>
      </w:r>
    </w:p>
    <w:p w14:paraId="00000116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https://quote.rbc.ru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Финансовый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портал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«РБК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Quote».</w:t>
      </w:r>
    </w:p>
    <w:p w14:paraId="00000117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"http://unionsrussia.ru/"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http://unionsrussia.ru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Союз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профсоюзов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России.</w:t>
      </w:r>
    </w:p>
    <w:p w14:paraId="00000118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"http://vip-money.com/"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http://vip-money.com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сайт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компании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«Финансовый</w:t>
      </w:r>
      <w:r>
        <w:rPr>
          <w:rFonts w:ascii="Times New Roman" w:cs="Times New Roman" w:hAnsi="Times New Roman"/>
          <w:spacing w:val="-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инвестиционный</w:t>
      </w:r>
      <w:r>
        <w:rPr>
          <w:rFonts w:ascii="Times New Roman" w:cs="Times New Roman" w:hAnsi="Times New Roman"/>
          <w:spacing w:val="-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консультант».</w:t>
      </w:r>
    </w:p>
    <w:p w14:paraId="00000119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"http://www.asv.org.ru/"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www.asv.org.ru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Агентство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страхованию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вкладов.</w:t>
      </w:r>
    </w:p>
    <w:p w14:paraId="0000011A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"http://www.banki.ru/"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www.banki.ru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финансовый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информационный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портал.</w:t>
      </w:r>
    </w:p>
    <w:p w14:paraId="0000011B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"http://www.cbr.ru/"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www.cbr.ru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Центральный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банк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Российской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Федерации.</w:t>
      </w:r>
    </w:p>
    <w:p w14:paraId="0000011C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"http://www.ffoms.ru/"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www.ffoms.ru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Федеральный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фонд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ОМС.</w:t>
      </w:r>
    </w:p>
    <w:p w14:paraId="0000011D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ind w:left="402" w:right="862" w:hanging="3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"http://www.fmc.hse.ru/"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 xml:space="preserve">www.fmc.hse.ru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 Федеральный методический центр по финансовой грамотности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системы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общего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среднего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профессионального образования.</w:t>
      </w:r>
    </w:p>
    <w:p w14:paraId="0000011E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"http://www.fnpr.ru/"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www.fnpr.ru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Федерация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независимых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профсоюзов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России.</w:t>
      </w:r>
    </w:p>
    <w:p w14:paraId="0000011F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"http://www.gks.ru/"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www.gks.ru</w:t>
      </w:r>
      <w:r>
        <w:rPr>
          <w:rFonts w:ascii="Times New Roman" w:cs="Times New Roman" w:hAnsi="Times New Roman"/>
          <w:spacing w:val="-3"/>
          <w:sz w:val="26"/>
          <w:szCs w:val="26"/>
        </w:rPr>
        <w:fldChar w:fldCharType="end"/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Федеральная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служба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государственной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статистики.</w:t>
      </w:r>
    </w:p>
    <w:p w14:paraId="00000120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"http://www.iblfrussia.org/"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www.iblfrussia.org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Международный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форум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лидеров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бизнеса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(IBLF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Russia).</w:t>
      </w:r>
    </w:p>
    <w:p w14:paraId="00000121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"http://www.instaforex.com/ru"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www.instaforex.com/ru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сайт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компании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«ИнстаФорекс»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услуги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рынке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Forex.</w:t>
      </w:r>
    </w:p>
    <w:p w14:paraId="00000122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"http://www.nalog.ru/rn77"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 xml:space="preserve">www.nalog.ru/rn77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Федеральная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налоговая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служба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(ФНС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России).</w:t>
      </w:r>
    </w:p>
    <w:p w14:paraId="00000123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"http://www.nalogkodeks.ru/"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www.nalogkodeks.ru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журнал «Налоговая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политика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практика».</w:t>
      </w:r>
    </w:p>
    <w:p w14:paraId="00000124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"http://www.o-strahovanie.ru/"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www.o-strahovanie.ru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сайт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«Всё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страховании».</w:t>
      </w:r>
    </w:p>
    <w:p w14:paraId="00000125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"http://www.pfrf.r/"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www.pfrf.r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Пенсионный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фонд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Российской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Федерации.</w:t>
      </w:r>
    </w:p>
    <w:p w14:paraId="00000126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"http://www.rbc.ru/"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www.rbc.ru</w:t>
      </w:r>
      <w:r>
        <w:rPr>
          <w:rFonts w:ascii="Times New Roman" w:cs="Times New Roman" w:hAnsi="Times New Roman"/>
          <w:spacing w:val="-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информационное</w:t>
      </w:r>
      <w:r>
        <w:rPr>
          <w:rFonts w:ascii="Times New Roman" w:cs="Times New Roman" w:hAnsi="Times New Roman"/>
          <w:spacing w:val="-6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агентство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«РосБизнесКонсалтинг».</w:t>
      </w:r>
    </w:p>
    <w:p w14:paraId="00000127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"http://www.sberbank.ru/"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www.sberbank.ru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ПАО</w:t>
      </w:r>
      <w:r>
        <w:rPr>
          <w:rFonts w:ascii="Times New Roman" w:cs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«Сбербанк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России».</w:t>
      </w:r>
    </w:p>
    <w:p w14:paraId="00000128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"http://www.siora.ru/"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 xml:space="preserve">www.siora.ru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Российское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агентство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поддержки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малого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среднего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бизнеса.</w:t>
      </w:r>
    </w:p>
    <w:p w14:paraId="00000129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"http://www.soglasie-npf.ru/"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www.soglasie-npf.ru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НПФ «Согласие-ОПС».</w:t>
      </w:r>
    </w:p>
    <w:p w14:paraId="0000012A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"http://www.vtbnpf.ru/"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www.vtbnpf.ru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НПФ «ВТБ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Пенсионный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фонд».</w:t>
      </w:r>
    </w:p>
    <w:p w14:paraId="0000012B">
      <w:pPr>
        <w:pStyle w:val="ListParagraph"/>
        <w:widowControl w:val="off"/>
        <w:numPr>
          <w:ilvl w:val="0"/>
          <w:numId w:val="2"/>
        </w:numPr>
        <w:tabs>
          <w:tab w:val="left" w:pos="1109"/>
          <w:tab w:val="left" w:pos="1110"/>
        </w:tabs>
        <w:spacing w:after="0" w:line="240" w:lineRule="auto"/>
        <w:contextualSpacing w:val="off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Вашифинансы.рф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Проект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Минфина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России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«Дружи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финансами».</w:t>
      </w:r>
    </w:p>
    <w:p w14:paraId="0000012C">
      <w:pPr>
        <w:pStyle w:val="BodyText"/>
        <w:ind w:left="709" w:hanging="821"/>
        <w:jc w:val="both"/>
        <w:rPr>
          <w:sz w:val="26"/>
          <w:szCs w:val="26"/>
        </w:rPr>
      </w:pPr>
    </w:p>
    <w:p w14:paraId="0000012D">
      <w:pPr>
        <w:ind w:left="284"/>
        <w:jc w:val="both"/>
        <w:rPr>
          <w:rFonts w:ascii="Times New Roman" w:cs="Times New Roman" w:hAnsi="Times New Roman"/>
          <w:b/>
          <w:spacing w:val="1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Дополнительные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источники</w:t>
      </w:r>
      <w:r>
        <w:rPr>
          <w:rFonts w:ascii="Times New Roman" w:cs="Times New Roman" w:hAnsi="Times New Roman"/>
          <w:b/>
          <w:spacing w:val="1"/>
          <w:sz w:val="26"/>
          <w:szCs w:val="26"/>
        </w:rPr>
        <w:t xml:space="preserve"> </w:t>
      </w:r>
    </w:p>
    <w:p w14:paraId="0000012E">
      <w:pPr>
        <w:pStyle w:val="ListParagraph"/>
        <w:widowControl w:val="off"/>
        <w:numPr>
          <w:ilvl w:val="0"/>
          <w:numId w:val="3"/>
        </w:numPr>
        <w:tabs>
          <w:tab w:val="left" w:pos="284"/>
          <w:tab w:val="left" w:pos="851"/>
        </w:tabs>
        <w:spacing w:before="0" w:after="0" w:line="240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М.Р.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Каджаева,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С.В.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Дубровская,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А.Р.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Елисеева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Финансовая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грамотность: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практикум,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издательский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центр “Академия”, 2020</w:t>
      </w:r>
    </w:p>
    <w:p w14:paraId="0000012F">
      <w:pPr>
        <w:pStyle w:val="ListParagraph"/>
        <w:widowControl w:val="off"/>
        <w:numPr>
          <w:ilvl w:val="0"/>
          <w:numId w:val="3"/>
        </w:numPr>
        <w:tabs>
          <w:tab w:val="left" w:pos="284"/>
          <w:tab w:val="left" w:pos="851"/>
        </w:tabs>
        <w:spacing w:before="0" w:after="0" w:line="240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рекомендации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для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преподавателя,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издательский центр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“Академия”,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2020</w:t>
      </w:r>
    </w:p>
    <w:p w14:paraId="00000130">
      <w:pPr>
        <w:pStyle w:val="ListParagraph"/>
        <w:widowControl w:val="off"/>
        <w:numPr>
          <w:ilvl w:val="0"/>
          <w:numId w:val="3"/>
        </w:numPr>
        <w:tabs>
          <w:tab w:val="left" w:pos="284"/>
          <w:tab w:val="left" w:pos="851"/>
        </w:tabs>
        <w:spacing w:before="0" w:after="0" w:line="240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М.Р.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Каджаева,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С.В.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Дубровская,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А.Р.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Елисеева</w:t>
      </w:r>
      <w:r>
        <w:rPr>
          <w:rFonts w:ascii="Times New Roman" w:cs="Times New Roman" w:hAnsi="Times New Roman"/>
          <w:spacing w:val="-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Финансовая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грамотность: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учебное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пособие,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издательский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центр “Академия”, 2020</w:t>
      </w:r>
    </w:p>
    <w:p w14:paraId="00000131">
      <w:pPr>
        <w:pStyle w:val="ListParagraph"/>
        <w:widowControl w:val="off"/>
        <w:numPr>
          <w:ilvl w:val="0"/>
          <w:numId w:val="3"/>
        </w:numPr>
        <w:tabs>
          <w:tab w:val="left" w:pos="284"/>
          <w:tab w:val="left" w:pos="851"/>
          <w:tab w:val="left" w:pos="1109"/>
          <w:tab w:val="left" w:pos="1110"/>
        </w:tabs>
        <w:spacing w:before="0" w:after="0" w:line="240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для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преподавателя.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СПО -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М:ВАКО, 2020</w:t>
      </w:r>
    </w:p>
    <w:p w14:paraId="00000132">
      <w:pPr>
        <w:pStyle w:val="ListParagraph"/>
        <w:tabs>
          <w:tab w:val="left" w:pos="851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5. </w:t>
      </w:r>
      <w:r>
        <w:rPr>
          <w:rFonts w:ascii="Times New Roman" w:cs="Times New Roman" w:hAnsi="Times New Roman"/>
          <w:sz w:val="26"/>
          <w:szCs w:val="26"/>
        </w:rPr>
        <w:t xml:space="preserve">Журнал экономических исследований, 2020, № 4. - Текст :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"https://znanium.com/catalog/product/1225604"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https://znanium.com/catalog/product/1225604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33">
      <w:pPr>
        <w:widowControl w:val="off"/>
        <w:tabs>
          <w:tab w:val="left" w:pos="1109"/>
          <w:tab w:val="left" w:pos="1110"/>
        </w:tabs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pacing w:val="1"/>
          <w:sz w:val="26"/>
          <w:szCs w:val="26"/>
        </w:rPr>
        <w:t>6</w:t>
      </w:r>
      <w:r>
        <w:rPr>
          <w:rFonts w:ascii="Times New Roman" w:cs="Times New Roman" w:hAnsi="Times New Roman"/>
          <w:b/>
          <w:spacing w:val="1"/>
          <w:sz w:val="26"/>
          <w:szCs w:val="26"/>
        </w:rPr>
        <w:t xml:space="preserve">. </w:t>
      </w:r>
      <w:r>
        <w:rPr>
          <w:rFonts w:ascii="Times New Roman" w:cs="Times New Roman" w:hAnsi="Times New Roman"/>
          <w:sz w:val="26"/>
          <w:szCs w:val="26"/>
        </w:rPr>
        <w:t>Банковские услуги и отношения людей с банками: курс лекций [Электронный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ресурс].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Режим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доступа: </w:t>
      </w: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"http://fmc.hse.ru/"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http://fmc.hse.ru/</w:t>
      </w:r>
      <w:r>
        <w:rPr>
          <w:rFonts w:ascii="Times New Roman" w:cs="Times New Roman" w:hAnsi="Times New Roman"/>
          <w:spacing w:val="-1"/>
          <w:sz w:val="26"/>
          <w:szCs w:val="26"/>
        </w:rPr>
        <w:fldChar w:fldCharType="end"/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bezdudnivideo</w:t>
      </w:r>
    </w:p>
    <w:p w14:paraId="00000134">
      <w:pPr>
        <w:pStyle w:val="ListParagraph"/>
        <w:widowControl w:val="off"/>
        <w:tabs>
          <w:tab w:val="left" w:pos="1109"/>
          <w:tab w:val="left" w:pos="111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7. </w:t>
      </w:r>
      <w:r>
        <w:rPr>
          <w:rFonts w:ascii="Times New Roman" w:cs="Times New Roman" w:hAnsi="Times New Roman"/>
          <w:sz w:val="26"/>
          <w:szCs w:val="26"/>
        </w:rPr>
        <w:t>Всё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будущей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пенсии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для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учёбы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жизни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[Электронный</w:t>
      </w:r>
      <w:r>
        <w:rPr>
          <w:rFonts w:ascii="Times New Roman" w:cs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ресурс].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Режим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доступа:</w:t>
      </w:r>
      <w:r>
        <w:rPr>
          <w:rFonts w:ascii="Times New Roman" w:cs="Times New Roman" w:hAnsi="Times New Roman"/>
          <w:spacing w:val="-57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begin"/>
      </w:r>
      <w:r>
        <w:rPr>
          <w:rFonts w:ascii="Times New Roman" w:cs="Times New Roman" w:hAnsi="Times New Roman"/>
          <w:sz w:val="26"/>
          <w:szCs w:val="26"/>
        </w:rPr>
        <w:instrText xml:space="preserve">HYPERLINK "http://www.pfrf.ru/files/id/press_center/pr/" </w:instrText>
      </w:r>
      <w:r>
        <w:rPr>
          <w:rFonts w:ascii="Times New Roman" w:cs="Times New Roman" w:hAnsi="Times New Roman"/>
          <w:sz w:val="26"/>
          <w:szCs w:val="26"/>
        </w:rPr>
        <w:fldChar w:fldCharType="separate"/>
      </w:r>
      <w:r>
        <w:rPr>
          <w:rFonts w:ascii="Times New Roman" w:cs="Times New Roman" w:hAnsi="Times New Roman"/>
          <w:sz w:val="26"/>
          <w:szCs w:val="26"/>
        </w:rPr>
        <w:t>http://www.pfrf.ru/files/id/press_center/pr/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uchebnik/SchoolBook</w:t>
      </w:r>
      <w:r>
        <w:rPr>
          <w:rFonts w:ascii="Times New Roman" w:cs="Times New Roman" w:hAnsi="Times New Roman"/>
          <w:spacing w:val="18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2018_1.pdf</w:t>
      </w:r>
    </w:p>
    <w:p w14:paraId="00000135">
      <w:pPr>
        <w:pStyle w:val="ListParagraph"/>
        <w:widowControl w:val="off"/>
        <w:tabs>
          <w:tab w:val="left" w:pos="1109"/>
          <w:tab w:val="left" w:pos="1110"/>
        </w:tabs>
        <w:spacing w:after="0" w:line="240" w:lineRule="auto"/>
        <w:ind w:left="6" w:firstLine="567"/>
        <w:contextualSpacing w:val="off"/>
        <w:rPr>
          <w:rFonts w:ascii="Times New Roman" w:cs="Times New Roman" w:hAnsi="Times New Roman"/>
          <w:sz w:val="26"/>
          <w:szCs w:val="26"/>
        </w:rPr>
      </w:pPr>
    </w:p>
    <w:p w14:paraId="00000136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00000137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 Skype (режим доступа: https://www.skype.com/) </w:t>
      </w:r>
    </w:p>
    <w:p w14:paraId="00000138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2. Zoom (режим доступа: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"https://zoom.us/"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https://zoom.us/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)</w:t>
      </w:r>
    </w:p>
    <w:p w14:paraId="00000139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https://disk.yandex.ru/ </w:t>
      </w:r>
    </w:p>
    <w:p w14:paraId="0000013A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3B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3C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4. КОНТРОЛЬ И ОЦЕНКА РЕЗУЛЬТАТОВ ОСВОЕНИЯ УЧЕБНОЙ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 ДИСЦИПЛИНЫ</w:t>
      </w:r>
    </w:p>
    <w:p w14:paraId="0000013D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Контроль и оценка </w:t>
      </w:r>
      <w:r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0000013E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9006" w:type="dxa"/>
        <w:tblInd w:w="108" w:type="dxa"/>
        <w:tblBorders>
          <w:top w:val="nil" w:sz="4" w:space="0"/>
          <w:left w:val="nil" w:sz="4" w:space="0"/>
          <w:bottom w:val="nil" w:sz="4" w:space="0"/>
          <w:right w:val="nil" w:sz="4" w:space="0"/>
        </w:tblBorders>
        <w:tblLayout w:type="fixed"/>
        <w:tblLook w:val="0000"/>
      </w:tblPr>
      <w:tblGrid>
        <w:gridCol w:w="4694"/>
        <w:gridCol w:w="4312"/>
      </w:tblGrid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F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00000140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cnfStyle w:val="000001100000"/>
            <w:tcW w:w="4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1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>
        <w:trPr>
          <w:trHeight w:val="1788" w:hRule="atLeast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2">
            <w:pPr>
              <w:pStyle w:val="TableParagraph"/>
              <w:spacing w:line="268" w:lineRule="exact"/>
              <w:ind w:left="10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Знать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:</w:t>
            </w:r>
          </w:p>
          <w:p w14:paraId="00000143">
            <w:pPr>
              <w:pStyle w:val="TableParagraph"/>
              <w:tabs>
                <w:tab w:val="left" w:pos="391"/>
              </w:tabs>
              <w:spacing w:before="2"/>
              <w:ind w:right="192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cnfStyle w:val="000001010000"/>
            <w:tcW w:w="4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4">
            <w:pPr>
              <w:pStyle w:val="TableParagraph"/>
              <w:ind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cs="Times New Roman" w:hAnsi="Times New Roman"/>
                <w:spacing w:val="-58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знаний: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экспертная оценка устных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(письменных) ответов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обучающихся, тестирование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знаний: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ДЗ</w:t>
            </w:r>
          </w:p>
        </w:tc>
      </w:tr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5">
            <w:pPr>
              <w:pStyle w:val="TableParagraph"/>
              <w:spacing w:line="268" w:lineRule="exact"/>
              <w:ind w:left="10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Уметь:</w:t>
            </w:r>
          </w:p>
          <w:p w14:paraId="00000146">
            <w:pPr>
              <w:pStyle w:val="Default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cnfStyle w:val="000001100000"/>
            <w:tcW w:w="4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7">
            <w:pPr>
              <w:pStyle w:val="TableParagraph"/>
              <w:tabs>
                <w:tab w:val="left" w:pos="2869"/>
              </w:tabs>
              <w:spacing w:line="237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cs="Times New Roman" w:hAnsi="Times New Roman"/>
                <w:spacing w:val="-58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знаний: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деятельностью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</w:rPr>
              <w:t xml:space="preserve">обучающихся,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экспертная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оценка результатов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деятельности</w:t>
            </w:r>
          </w:p>
          <w:p w14:paraId="00000148">
            <w:pPr>
              <w:pStyle w:val="Default"/>
              <w:tabs>
                <w:tab w:val="left" w:pos="2869"/>
              </w:tabs>
              <w:ind w:left="0" w:right="0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знаний:</w:t>
            </w:r>
            <w:r>
              <w:rPr>
                <w:rFonts w:ascii="Times New Roman" w:cs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ДЗ</w:t>
            </w:r>
          </w:p>
        </w:tc>
      </w:tr>
      <w:tr>
        <w:trPr>
          <w:trHeight w:val="297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9">
            <w:pPr>
              <w:pStyle w:val="TableParagraph"/>
              <w:spacing w:line="268" w:lineRule="exact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cs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cnfStyle w:val="000001010000"/>
            <w:tcW w:w="431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0000014A">
            <w:pPr>
              <w:pStyle w:val="TableParagraph"/>
              <w:spacing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ценка участия в</w:t>
            </w:r>
          </w:p>
          <w:p w14:paraId="0000014B">
            <w:pPr>
              <w:pStyle w:val="TableParagraph"/>
              <w:spacing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тренингах, выполнение</w:t>
            </w:r>
          </w:p>
          <w:p w14:paraId="0000014C">
            <w:pPr>
              <w:pStyle w:val="TableParagraph"/>
              <w:spacing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практических работ</w:t>
            </w:r>
          </w:p>
          <w:p w14:paraId="0000014D">
            <w:pPr>
              <w:pStyle w:val="TableParagraph"/>
              <w:spacing w:line="240" w:lineRule="auto"/>
              <w:ind w:left="0" w:right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E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cnfStyle w:val="000001100000"/>
            <w:tcW w:w="4312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0000014F">
            <w:pPr>
              <w:pStyle w:val="TableParagraph"/>
              <w:spacing w:line="237" w:lineRule="auto"/>
              <w:ind w:left="104" w:right="966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50">
            <w:pPr>
              <w:pStyle w:val="TableParagraph"/>
              <w:spacing w:line="268" w:lineRule="exact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" w:cs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cnfStyle w:val="000001010000"/>
            <w:tcW w:w="4312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00000151">
            <w:pPr>
              <w:pStyle w:val="TableParagraph"/>
              <w:spacing w:line="237" w:lineRule="auto"/>
              <w:ind w:left="104" w:right="966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52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работать в коллективе и команде.</w:t>
            </w:r>
          </w:p>
        </w:tc>
        <w:tc>
          <w:tcPr>
            <w:cnfStyle w:val="000001100000"/>
            <w:tcW w:w="4312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 w14:paraId="00000153">
            <w:pPr>
              <w:pStyle w:val="TableParagraph"/>
              <w:spacing w:line="237" w:lineRule="auto"/>
              <w:ind w:left="104" w:right="966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1368" w:hRule="atLeast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54">
            <w:pPr>
              <w:widowControl w:val="off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соци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cnfStyle w:val="000001010000"/>
            <w:tcW w:w="431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55">
            <w:pPr>
              <w:pStyle w:val="TableParagraph"/>
              <w:spacing w:line="237" w:lineRule="auto"/>
              <w:ind w:left="104" w:right="966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001100000"/>
            <w:tcW w:w="4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57">
            <w:pPr>
              <w:pStyle w:val="Default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>
        <w:trPr>
          <w:trHeight w:val="297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58"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>ЛР 9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cnfStyle w:val="000001010000"/>
            <w:tcW w:w="431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 w14:paraId="00000159">
            <w:pPr>
              <w:pStyle w:val="Default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000015A">
            <w:pPr>
              <w:pStyle w:val="Default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0000015B">
            <w:pPr>
              <w:pStyle w:val="Default"/>
              <w:jc w:val="both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5C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 xml:space="preserve">ЛР 15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Способн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ый при взаимодействии с другими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целей,</w:t>
            </w:r>
            <w:r>
              <w:rPr>
                <w:rFonts w:ascii="Times New Roman" w:cs="Times New Roman" w:hAnsi="Times New Roman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стремящийся</w:t>
            </w:r>
            <w:r>
              <w:rPr>
                <w:rFonts w:ascii="Times New Roman" w:cs="Times New Roman" w:hAnsi="Times New Roman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cs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формированию</w:t>
            </w:r>
            <w:r>
              <w:rPr>
                <w:rFonts w:ascii="Times New Roman" w:cs="Times New Roman" w:hAnsi="Times New Roman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машиностроительной и металлообрабатывающей отраслях</w:t>
            </w:r>
            <w:r>
              <w:rPr>
                <w:rFonts w:ascii="Times New Roman" w:cs="Times New Roman" w:hAnsi="Times New Roman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личностного</w:t>
            </w:r>
            <w:r>
              <w:rPr>
                <w:rFonts w:ascii="Times New Roman" w:cs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роста</w:t>
            </w:r>
            <w:r>
              <w:rPr>
                <w:rFonts w:ascii="Times New Roman" w:cs="Times New Roman" w:hAnsi="Times New Roman"/>
                <w:spacing w:val="-57"/>
                <w:sz w:val="26"/>
                <w:szCs w:val="26"/>
              </w:rPr>
              <w:t xml:space="preserve">               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как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профессионала</w:t>
            </w:r>
          </w:p>
        </w:tc>
        <w:tc>
          <w:tcPr>
            <w:cnfStyle w:val="000001100000"/>
            <w:tcW w:w="431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 w14:paraId="0000015D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01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5E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>ЛР 16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Способный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искать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находить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необходимую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информацию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используя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разнообразные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технологии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ее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поиска,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для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решения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возникающих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процессе</w:t>
            </w:r>
            <w:r>
              <w:rPr>
                <w:rFonts w:ascii="Times New Roman" w:cs="Times New Roman" w:hAnsi="Times New Roman"/>
                <w:spacing w:val="5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производственной</w:t>
            </w:r>
            <w:r>
              <w:rPr>
                <w:rFonts w:ascii="Times New Roman" w:cs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деятельности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проблем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cnfStyle w:val="000001010000"/>
            <w:tcW w:w="431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 w14:paraId="0000015F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1811" w:hRule="atLeast"/>
        </w:trPr>
        <w:tc>
          <w:tcPr>
            <w:cnfStyle w:val="000010100000"/>
            <w:tcW w:w="4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60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Calibri" w:hAnsi="Times New Roman"/>
                <w:b/>
                <w:bCs/>
                <w:iCs/>
                <w:sz w:val="26"/>
                <w:szCs w:val="26"/>
              </w:rPr>
              <w:t>ЛР 17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cnfStyle w:val="000001100000"/>
            <w:tcW w:w="431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61">
            <w:pPr>
              <w:pStyle w:val="Default"/>
              <w:jc w:val="center"/>
              <w:rPr>
                <w:rFonts w:ascii="Times New Roman" w:cs="Times New Roman" w:hAnsi="Times New Roman"/>
                <w:bCs/>
                <w:color w:val="auto"/>
                <w:sz w:val="26"/>
                <w:szCs w:val="26"/>
              </w:rPr>
            </w:pPr>
          </w:p>
        </w:tc>
      </w:tr>
    </w:tbl>
    <w:p w14:paraId="00000162">
      <w:pPr>
        <w:spacing w:after="200" w:line="276" w:lineRule="auto"/>
        <w:rPr>
          <w:rFonts w:ascii="Times New Roman" w:cs="Times New Roman" w:eastAsia="Calibri" w:hAnsi="Times New Roman"/>
          <w:sz w:val="26"/>
          <w:szCs w:val="26"/>
          <w:u w:val="single"/>
        </w:rPr>
      </w:pPr>
    </w:p>
    <w:p w14:paraId="00000163"/>
    <w:sectPr>
      <w:headerReference w:type="default" r:id="rId7"/>
      <w:footerReference w:type="default" r:id="rId8"/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00000000" w:usb1="00000000" w:usb2="00000009" w:usb3="00000000" w:csb0="000001f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65"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 w14:paraId="00000166">
    <w:pPr>
      <w:pStyle w:val="Footer"/>
      <w:rPr/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67">
    <w:pPr>
      <w:spacing w:after="0" w:line="240" w:lineRule="auto"/>
      <w:rPr/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64"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110" w:hanging="711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2034" w:hanging="71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949" w:hanging="71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863" w:hanging="71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78" w:hanging="71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693" w:hanging="71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607" w:hanging="71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522" w:hanging="71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437" w:hanging="711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402" w:hanging="240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386" w:hanging="2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373" w:hanging="2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59" w:hanging="2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46" w:hanging="2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333" w:hanging="2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319" w:hanging="2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06" w:hanging="2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93" w:hanging="240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abstractNum w:abstractNumId="4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type="paragraph" w:styleId="List">
    <w:name w:val="List"/>
    <w:basedOn w:val="Normal"/>
    <w:uiPriority w:val="99"/>
    <w:pPr>
      <w:spacing w:after="0" w:line="240" w:lineRule="auto"/>
      <w:ind w:left="283" w:hanging="283"/>
    </w:pPr>
    <w:rPr>
      <w:rFonts w:ascii="Arial" w:cs="Wingdings" w:eastAsia="Times New Roman" w:hAnsi="Arial"/>
      <w:sz w:val="24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